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kern w:val="0"/>
          <w:sz w:val="44"/>
          <w:szCs w:val="44"/>
        </w:rPr>
        <w:t>抚州市5G通信基础设施专项规划</w:t>
      </w:r>
      <w:r>
        <w:rPr>
          <w:rFonts w:hint="eastAsia" w:ascii="方正小标宋简体" w:hAnsi="方正小标宋简体" w:eastAsia="方正小标宋简体" w:cs="方正小标宋简体"/>
          <w:kern w:val="0"/>
          <w:sz w:val="44"/>
          <w:szCs w:val="44"/>
          <w:lang w:eastAsia="zh-CN"/>
        </w:rPr>
        <w:t>（</w:t>
      </w:r>
      <w:r>
        <w:rPr>
          <w:rFonts w:hint="eastAsia" w:ascii="方正小标宋简体" w:hAnsi="方正小标宋简体" w:eastAsia="方正小标宋简体" w:cs="方正小标宋简体"/>
          <w:spacing w:val="5"/>
          <w:w w:val="99"/>
          <w:sz w:val="44"/>
          <w:szCs w:val="44"/>
        </w:rPr>
        <w:t>2025-2035）</w:t>
      </w:r>
      <w:r>
        <w:rPr>
          <w:rFonts w:hint="eastAsia" w:ascii="方正小标宋简体" w:hAnsi="方正小标宋简体" w:eastAsia="方正小标宋简体" w:cs="方正小标宋简体"/>
          <w:spacing w:val="5"/>
          <w:w w:val="99"/>
          <w:sz w:val="44"/>
          <w:szCs w:val="44"/>
          <w:lang w:eastAsia="zh-CN"/>
        </w:rPr>
        <w:t>》</w:t>
      </w:r>
      <w:r>
        <w:rPr>
          <w:rFonts w:hint="eastAsia" w:ascii="方正小标宋简体" w:hAnsi="方正小标宋简体" w:eastAsia="方正小标宋简体" w:cs="方正小标宋简体"/>
          <w:sz w:val="44"/>
          <w:szCs w:val="44"/>
        </w:rPr>
        <w:t>起草说明</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为有力支撑抚州市经济社会数字化转型与现代化产业体系建设，高效推进</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通信基础设施快速合理建设，市通发办牵</w:t>
      </w:r>
      <w:r>
        <w:rPr>
          <w:rFonts w:hint="eastAsia" w:ascii="仿宋_GB2312" w:hAnsi="仿宋_GB2312" w:eastAsia="仿宋_GB2312" w:cs="仿宋_GB2312"/>
          <w:sz w:val="32"/>
          <w:szCs w:val="32"/>
          <w:lang w:val="en-US" w:eastAsia="zh-CN"/>
        </w:rPr>
        <w:t>头草拟了《抚州市5G通信基础设施专项规划（2025-2035年）》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征求意见稿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（以下简称《5G专项规划》</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征求意见稿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安排，现就</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情况作如下说明。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一、起草背景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在新一轮科技革命和</w:t>
      </w:r>
      <w:bookmarkStart w:id="0" w:name="_GoBack"/>
      <w:bookmarkEnd w:id="0"/>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产业变革深度演进的背景下，“双千兆”网络已成为驱动数字经济蓬勃发展的核心底座。抚州市作为江西省重要节点城市，亟需抢抓“新基建”战略机遇，以通信基础设施升级引领城市发展能级跃升。2019年，江西省人民政府印发《江西省5G发展规划（2019-2023年）》，推动5G与工业互联网、智慧城市、文旅融合等领域深度融合；2021年，抚州市人民政府印发《抚州市国民经济和社会发展第十四个五年规划和二〇三五年远景目标纲要》，锚定5G网络全域覆盖与产业深度融合的发展目标，为全市通信基础设施建设提供了清晰指引。省通管局对推动跨行业规划衔接工作高度重视，要求各设区市2025年底前出台各地市5G专项规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二、起草依据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5G专项规划》（征求意见稿）的起草主要依据了《江西省5G发展规划（2019-2023年）的通知》（赣府发﹝2019﹞4号）、《抚州市国民经济和社会发展第十四个五年规划和二〇三五年远景目标纲要》（抚府发〔2021〕4号）、《江西省关于加快推进5G发展若干措施的通知》（赣府厅字﹝2019﹞62号）、《抚州市关于加快推进5G发展政策措施的通知》（抚府发〔2020〕11号）以及《关于开展江西省“信号升格”专项行动的通知》（赣通局联发〔2024〕34号）等文件精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《5G专项规划》（征求意见稿）共分为十二章67条，主要内容如下：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楷体_GB2312" w:hAnsi="楷体_GB2312" w:eastAsia="楷体_GB2312" w:cs="楷体_GB2312"/>
          <w:b/>
          <w:bCs/>
          <w:color w:val="000000" w:themeColor="text1"/>
          <w:kern w:val="2"/>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14:textFill>
            <w14:solidFill>
              <w14:schemeClr w14:val="tx1"/>
            </w14:solidFill>
          </w14:textFill>
        </w:rPr>
        <w:t>第一章 规划总则（1-10条，共10条）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本章明确了规划的指导思想、原则、目标和期限。提出以构建“高速、智能、泛在、安全、绿色”的新一代通信基础设施体系为核心，规划期限为2025-2035年，范围覆盖全市全域（重点规划中心城区）。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楷体_GB2312" w:hAnsi="楷体_GB2312" w:eastAsia="楷体_GB2312" w:cs="楷体_GB2312"/>
          <w:b/>
          <w:bCs/>
          <w:color w:val="000000" w:themeColor="text1"/>
          <w:kern w:val="2"/>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14:textFill>
            <w14:solidFill>
              <w14:schemeClr w14:val="tx1"/>
            </w14:solidFill>
          </w14:textFill>
        </w:rPr>
        <w:t>第二章 现状分析与需求预测（11-13条，共3条）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本章系统分析了当前我市通信基础设施的存量规模、发展水平及存在的四大主要问题（区域不均衡、共享不足等），并对未来的网络覆盖、应用、公共服务等需求进行了科学预测。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楷体_GB2312" w:hAnsi="楷体_GB2312" w:eastAsia="楷体_GB2312" w:cs="楷体_GB2312"/>
          <w:b/>
          <w:bCs/>
          <w:color w:val="000000" w:themeColor="text1"/>
          <w:kern w:val="2"/>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14:textFill>
            <w14:solidFill>
              <w14:schemeClr w14:val="tx1"/>
            </w14:solidFill>
          </w14:textFill>
        </w:rPr>
        <w:t>第三章 通信基站规划方案（14-25条，共12条）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本章是《规划》的核心之一。明确了基站规划的原则、场景分类和站间距标准，提出了“存量+新建”的总体方案。规划至2035年，全市宏基站总数将达到18,366个（现状6,678个，规划新建11,688个），并详细规定了基站的建设、美化、安全退让等指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楷体_GB2312" w:hAnsi="楷体_GB2312" w:eastAsia="楷体_GB2312" w:cs="楷体_GB2312"/>
          <w:b/>
          <w:bCs/>
          <w:color w:val="000000" w:themeColor="text1"/>
          <w:kern w:val="2"/>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14:textFill>
            <w14:solidFill>
              <w14:schemeClr w14:val="tx1"/>
            </w14:solidFill>
          </w14:textFill>
        </w:rPr>
        <w:t>第四章 通信局房规划方案（26-30条，共5条）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本章对通信网络的核心节点—通信局房进行了分类（核心、汇聚、边缘）和规划。提出了建设面积、规划密度和美化要求，规划新建419座汇聚局房，期末总数达到810座。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楷体_GB2312" w:hAnsi="楷体_GB2312" w:eastAsia="楷体_GB2312" w:cs="楷体_GB2312"/>
          <w:b/>
          <w:bCs/>
          <w:color w:val="000000" w:themeColor="text1"/>
          <w:kern w:val="2"/>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14:textFill>
            <w14:solidFill>
              <w14:schemeClr w14:val="tx1"/>
            </w14:solidFill>
          </w14:textFill>
        </w:rPr>
        <w:t>第五章 储能柜规划方案 &amp; 第六章 充电桩规划方案（31-36条，共6条）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为保障通信设施稳定运行和服务社会新能源需求，对储能柜和充电桩的选址、安全要求及建设方案进行了专项规划。规划新建储能柜2,115个，充电桩场站392个。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楷体_GB2312" w:hAnsi="楷体_GB2312" w:eastAsia="楷体_GB2312" w:cs="楷体_GB2312"/>
          <w:b/>
          <w:bCs/>
          <w:color w:val="000000" w:themeColor="text1"/>
          <w:kern w:val="2"/>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14:textFill>
            <w14:solidFill>
              <w14:schemeClr w14:val="tx1"/>
            </w14:solidFill>
          </w14:textFill>
        </w:rPr>
        <w:t>第七章 通信管线规划方案 &amp; 第八章 主干光交箱规划方案（37-48条，共12条）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对通信网络的“血脉”——管线和光交箱进行了规划。明确了规划原则、需求预测、建设指引和安全要求。规划新建通信管道756管程公里，主干光交箱1,662个。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楷体_GB2312" w:hAnsi="楷体_GB2312" w:eastAsia="楷体_GB2312" w:cs="楷体_GB2312"/>
          <w:b/>
          <w:bCs/>
          <w:color w:val="000000" w:themeColor="text1"/>
          <w:kern w:val="2"/>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14:textFill>
            <w14:solidFill>
              <w14:schemeClr w14:val="tx1"/>
            </w14:solidFill>
          </w14:textFill>
        </w:rPr>
        <w:t>第九章 近期规划实施方案（49-51条，共3条）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本章制定了2025-2027年的近期建设计划，明确了目标，并分解了基站、局房、光交箱等各类设施的近期新建任务，确保规划落地实施。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楷体_GB2312" w:hAnsi="楷体_GB2312" w:eastAsia="楷体_GB2312" w:cs="楷体_GB2312"/>
          <w:b/>
          <w:bCs/>
          <w:color w:val="000000" w:themeColor="text1"/>
          <w:kern w:val="2"/>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14:textFill>
            <w14:solidFill>
              <w14:schemeClr w14:val="tx1"/>
            </w14:solidFill>
          </w14:textFill>
        </w:rPr>
        <w:t>第十章 环境保护规划（52-56条，共5条）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本章规定了电磁辐射控制限值、消防安全、“三废”防治、基站美化和绿色低碳要求，确保基础设施建设与生态环境和谐共生。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楷体_GB2312" w:hAnsi="楷体_GB2312" w:eastAsia="楷体_GB2312" w:cs="楷体_GB2312"/>
          <w:b/>
          <w:bCs/>
          <w:color w:val="000000" w:themeColor="text1"/>
          <w:kern w:val="2"/>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14:textFill>
            <w14:solidFill>
              <w14:schemeClr w14:val="tx1"/>
            </w14:solidFill>
          </w14:textFill>
        </w:rPr>
        <w:t>第十一章 公共场景规划（57-61条，共5条）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本章针对“信号升格”专项行动要求的11类重点场景（政务中心、文旅、医疗机构、交通干线等）和风景区、工业园区、地下空间，制定了细化的覆盖规划和建设方案，实现精准覆盖。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楷体_GB2312" w:hAnsi="楷体_GB2312" w:eastAsia="楷体_GB2312" w:cs="楷体_GB2312"/>
          <w:b/>
          <w:bCs/>
          <w:color w:val="000000" w:themeColor="text1"/>
          <w:kern w:val="2"/>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14:textFill>
            <w14:solidFill>
              <w14:schemeClr w14:val="tx1"/>
            </w14:solidFill>
          </w14:textFill>
        </w:rPr>
        <w:t>第十二章 规划实施保障措施（62-67条，共6条）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Style w:val="5"/>
          <w:rFonts w:hint="default" w:ascii="楷体_GB2312" w:hAnsi="楷体_GB2312" w:eastAsia="楷体_GB2312" w:cs="楷体_GB2312"/>
          <w:b/>
          <w:bCs w:val="0"/>
          <w:sz w:val="32"/>
          <w:szCs w:val="32"/>
          <w:lang w:val="en-US" w:eastAsia="zh-CN"/>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本章从强化部门协同、纳入国土空间规划“一张图”、推动公共资源开放、推进共建共享、加强科普宣传等方面提出了具体的保障措施，确保《规划》能落地见效。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rPr>
          <w:rStyle w:val="5"/>
          <w:rFonts w:hint="default" w:ascii="楷体_GB2312" w:hAnsi="楷体_GB2312" w:eastAsia="楷体_GB2312" w:cs="楷体_GB2312"/>
          <w:b/>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rPr>
          <w:rStyle w:val="5"/>
          <w:rFonts w:hint="default" w:ascii="楷体_GB2312" w:hAnsi="楷体_GB2312" w:eastAsia="楷体_GB2312" w:cs="楷体_GB2312"/>
          <w:b/>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Style w:val="5"/>
          <w:rFonts w:hint="default" w:ascii="楷体_GB2312" w:hAnsi="楷体_GB2312" w:eastAsia="楷体_GB2312" w:cs="楷体_GB2312"/>
          <w:b/>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45AF4"/>
    <w:rsid w:val="10384EC4"/>
    <w:rsid w:val="4A245AF4"/>
    <w:rsid w:val="50E422CF"/>
    <w:rsid w:val="5C6B34A4"/>
    <w:rsid w:val="63736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4</Pages>
  <Words>0</Words>
  <Characters>0</Characters>
  <Lines>0</Lines>
  <Paragraphs>0</Paragraphs>
  <TotalTime>8</TotalTime>
  <ScaleCrop>false</ScaleCrop>
  <LinksUpToDate>false</LinksUpToDate>
  <CharactersWithSpaces>0</CharactersWithSpaces>
  <Application>WPS Office_12.8.0.17008_F1E327BC-269C-435d-A152-05C5408002CA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2025-09-19T02:58:00Z</dcterms:created>
  <dc:creator>Administrator</dc:creator>
  <cp:lastModifiedBy>Administrator</cp:lastModifiedBy>
  <dcterms:modified xsi:type="dcterms:W3CDTF">2025-09-22T08:23:24Z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2052-12.8.0.17008</vt:lpwstr>
  </property>
  <property fmtid="{D5CDD505-2E9C-101B-9397-08002B2CF9AE}" pid="3" name="ICV">
    <vt:lpwstr>EE3BB68D990D4600B8CC8E599DC4F748</vt:lpwstr>
  </property>
</Properties>
</file>